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3.png" ContentType="image/png"/>
  <Override PartName="/word/media/rId79.png" ContentType="image/png"/>
  <Override PartName="/word/media/rId77.png" ContentType="image/png"/>
  <Override PartName="/word/media/rId80.png" ContentType="image/png"/>
  <Override PartName="/word/media/rId81.png" ContentType="image/png"/>
  <Override PartName="/word/media/rId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24</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all of which have become depleted in recent decades. Declines in survival of local juvenile Chinook Salmon have been associated with hydrosystem passage</w:t>
      </w:r>
      <w:r>
        <w:t xml:space="preserve"> </w:t>
      </w:r>
      <w:r>
        <w:t xml:space="preserve">(Schaller et al. 2014)</w:t>
      </w:r>
      <w:r>
        <w:t xml:space="preserve">, ocean conditions and regional climate</w:t>
      </w:r>
      <w:r>
        <w:t xml:space="preserve"> </w:t>
      </w:r>
      <w:r>
        <w:t xml:space="preserve">(Welch et al. 2021; Gosselin et al. 2021)</w:t>
      </w:r>
      <w:r>
        <w:t xml:space="preserve">, and changes to the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among others</w:t>
      </w:r>
      <w:r>
        <w:t xml:space="preserve"> </w:t>
      </w:r>
      <w:r>
        <w:t xml:space="preserve">(OSC Team (Idaho Governor’s Office of Species Conservation and partners) 2019)</w:t>
      </w:r>
      <w:r>
        <w:t xml:space="preserve">. Moreoever,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t xml:space="preserve">One potentially important, but perhaps under-appreciated source of mortality for Chinook Salmon is predation on emigrating juveniles by piscivorous fishes, including both native and non-native species. Dams and reservoirs in the Columbia River basin are the primary locations associated with high rates of predation on salmonids</w:t>
      </w:r>
      <w:r>
        <w:t xml:space="preserve"> </w:t>
      </w:r>
      <w:r>
        <w:t xml:space="preserve">(Petersen 1994; Ward et al. 1995)</w:t>
      </w:r>
      <w:r>
        <w:t xml:space="preserve">. There are generally two mechanisms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created by dams on the Columbia and Snake rivers have created favorable slow-water habitat for several species of piscivorous fish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the Lower Granite Reservoir on the Snake River, juvenile Chinook Salmon are common prey items of non-native Smallmouth Bass during some seasons</w:t>
      </w:r>
      <w:r>
        <w:t xml:space="preserve"> </w:t>
      </w:r>
      <w:r>
        <w:t xml:space="preserve">(Erhardt et al. 2018)</w:t>
      </w:r>
      <w:r>
        <w:t xml:space="preserve">. And non-native Walleye are considered a potentially important source for juvenile Chinook Salmon mortality in the Snake River</w:t>
      </w:r>
      <w:r>
        <w:t xml:space="preserve">(Widener et al. 2021)</w:t>
      </w:r>
      <w:r>
        <w:t xml:space="preserve">, particularly as their abundance has significantly increased surrounding Snake River dam facilities between 2008 and 2020 related to their preference for slow water habitats.</w:t>
      </w:r>
    </w:p>
    <w:p>
      <w:pPr>
        <w:pStyle w:val="BodyText"/>
      </w:pPr>
      <w:r>
        <w:t xml:space="preserve">In addition to non-native species, Northern Pikeminnow are a native, piscivorous fish preferring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estimated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 However, there is a dearth of current data on piscivorous predator populations in the Columbia River.</w:t>
      </w:r>
    </w:p>
    <w:p>
      <w:pPr>
        <w:pStyle w:val="BodyText"/>
      </w:pPr>
      <w:r>
        <w:t xml:space="preserve">Habitats containing slower water velocities and other attributes that support piscivorous predators are not limited to dams and reservoirs. One such area is the Deadwater Slough in the Salmon River, Idaho which is an unnaturally slow and deep reach of the mainstem river approximately 1.5 kilometers in length and occupying 29.5 acres (Figure</w:t>
      </w:r>
      <w:r>
        <w:t xml:space="preserve"> </w:t>
      </w:r>
      <w:r>
        <w:t xml:space="preserve">1</w:t>
      </w:r>
      <w:r>
        <w:t xml:space="preserve">). The slough contains</w:t>
      </w:r>
      <w:r>
        <w:t xml:space="preserve"> </w:t>
      </w:r>
      <w:r>
        <w:t xml:space="preserve">“</w:t>
      </w:r>
      <w:r>
        <w:t xml:space="preserve">reservoir-like</w:t>
      </w:r>
      <w:r>
        <w:t xml:space="preserve">”</w:t>
      </w:r>
      <w:r>
        <w:t xml:space="preserve"> </w:t>
      </w:r>
      <w:r>
        <w:t xml:space="preserve">conditions which typically favor piscivorous fish predators like Northern Pikeminnow or Smallmouth Bass</w:t>
      </w:r>
      <w:r>
        <w:t xml:space="preserve"> </w:t>
      </w:r>
      <w:r>
        <w:t xml:space="preserve">(Watkins et al. 2015)</w:t>
      </w:r>
      <w:r>
        <w:t xml:space="preserve">, and further, lacks hydrological and structural features and fish cover (e.g., large wood or substrate, woody debris, bank undercuts) that can provide essential refuge from predation for juvenile fishes.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believed to be a historically important overwinter rearing area for DSR emigrants. Moreover, the slough is part of the migratory pathway for not only juvenile Chinook Salmon (both DSR and NRR emigrants), but also for the endangered Snake River Sockeye Salmon population and several population of threatened Snake River steelhead. As such, the main Salmon River has been the target of recent radio telemetry studies to examine the downstream movement, distribution, and (apparent survival) of juvenile salmonid emigrants.</w:t>
      </w:r>
      <w:r>
        <w:t xml:space="preserve"> </w:t>
      </w:r>
      <w:r>
        <w:t xml:space="preserve">Axel et al. (2015)</w:t>
      </w:r>
      <w:r>
        <w:t xml:space="preserve"> </w:t>
      </w:r>
      <w:r>
        <w:t xml:space="preserve">demonstrated decreased rates of emigration and survival for Sockeye Salmon from Redfish Lake during the spring emigration. Further, recent telemetry studies of Chinook salmon emigration during fall and early winter months indicated a decreased transition probability in the reach spanning Deadwater Slough (approximately 10% less than surrounding reaches).</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the total consumption of juvenile DSR and NRR Chinook salmon during defined emigration periods.</w:t>
      </w:r>
    </w:p>
    <w:p>
      <w:pPr>
        <w:numPr>
          <w:ilvl w:val="0"/>
          <w:numId w:val="1001"/>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located approximately 6 kms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forming an alluvial fan and creating an unnaturally slow and deep section of the river resembling a small reservoir.</w:t>
      </w:r>
    </w:p>
    <w:bookmarkEnd w:id="22"/>
    <w:bookmarkStart w:id="23" w:name="abundance-of-piscivorous-fishes"/>
    <w:p>
      <w:pPr>
        <w:pStyle w:val="Heading2"/>
      </w:pPr>
      <w:r>
        <w:t xml:space="preserve">Abundance of Piscivorous Fishes</w:t>
      </w:r>
    </w:p>
    <w:p>
      <w:pPr>
        <w:pStyle w:val="FirstParagraph"/>
      </w:pPr>
      <w:r>
        <w:t xml:space="preserve">Our goal was to estimate the abundance of potentially piscivorous predators in the Deadwater Slough using a mark-recapture approach both during the fall and spring near the peaks of the juvenile Chinook Salmon DSR and NRR emigrations, respectively. The initial intent was to sample during fall 2019 and spring 2020 to estimate predator abundances during the emigration of the 2018 brood year. However, due to logistical concerns during the onset of the Covid-19 pandemic, the spring 2020 sampling event was delayed until fall 2020. Although this provided the benefit of an additional abundance estimates during the DSR emigration, estimates during the NRR emigration were still lacking, and so an additional sampling event was added for spring 2021. The study design was such that both the fall 2019 and fall 2020 sampling efforts included both a</w:t>
      </w:r>
      <w:r>
        <w:t xml:space="preserve"> </w:t>
      </w:r>
      <w:r>
        <w:t xml:space="preserve">“</w:t>
      </w:r>
      <w:r>
        <w:t xml:space="preserve">mark week</w:t>
      </w:r>
      <w:r>
        <w:t xml:space="preserve">”</w:t>
      </w:r>
      <w:r>
        <w:t xml:space="preserve"> </w:t>
      </w:r>
      <w:r>
        <w:t xml:space="preserve">and</w:t>
      </w:r>
      <w:r>
        <w:t xml:space="preserve"> </w:t>
      </w:r>
      <w:r>
        <w:t xml:space="preserve">“</w:t>
      </w:r>
      <w:r>
        <w:t xml:space="preserve">recapture week</w:t>
      </w:r>
      <w:r>
        <w:t xml:space="preserve">”</w:t>
      </w:r>
      <w:r>
        <w:t xml:space="preserve"> </w:t>
      </w:r>
      <w:r>
        <w:t xml:space="preserve">intended for mark-recapture models. However, due to budget constraints the spring 2021 effort only included a single</w:t>
      </w:r>
      <w:r>
        <w:t xml:space="preserve"> </w:t>
      </w:r>
      <w:r>
        <w:t xml:space="preserve">“</w:t>
      </w:r>
      <w:r>
        <w:t xml:space="preserve">mark week</w:t>
      </w:r>
      <w:r>
        <w:t xml:space="preserve">”</w:t>
      </w:r>
      <w:r>
        <w:t xml:space="preserve">; instead, we calculated the catch-per-unit-effort (CPUE; fish per hour) for the spring 2021 effort for comparison to the fall efforts. In the end, sampling dates were as follows: fall 2019 (mark = November 12-14; recapture = November 19-21), fall 2020 (mark = October 20-23; recapture = October 27-30); spring 2021 (mark = May 18-21). The recapture events were held just one week following the mark events to reduce opportunity for immigration/emigration of predators between events i.e., to avoid violation of a closed population for mark-recapture models.</w:t>
      </w:r>
    </w:p>
    <w:p>
      <w:pPr>
        <w:pStyle w:val="BodyText"/>
      </w:pPr>
      <w:r>
        <w:t xml:space="preserve">We attempted multiple capture methods during the first year including raft electrofishing, fyke netting, snorkeling, and angling to reduce selectivity, both for species and size classes. Unfortunately, some of the methods proved ineffective. For example, fish were able to elude the electrical field of the raft electrofisher due to 1) the lack of flow in Deadwater Slough and 2) we lacked the appropriate motor to effectively</w:t>
      </w:r>
      <w:r>
        <w:t xml:space="preserve"> </w:t>
      </w:r>
      <w:r>
        <w:t xml:space="preserve">“</w:t>
      </w:r>
      <w:r>
        <w:t xml:space="preserve">chase</w:t>
      </w:r>
      <w:r>
        <w:t xml:space="preserve">”</w:t>
      </w:r>
      <w:r>
        <w:t xml:space="preserve"> </w:t>
      </w:r>
      <w:r>
        <w:t xml:space="preserve">fish given the lack of flow. Snorkeling was ineffective due to the high turbidity of the mainstem Salmon River and Deadwater Slough. And due to debris floating in the water column, there were concerns with fyke nets being pulled from their anchored locations and becoming entangled. Additionally, there were concerns with raft electrofishers and fyke nets incidentally capturing adult steelhead that are present in the mainstem Salmon River during fall and spring. In the end, angling proved to be the most effective method for capturing piscivorous predators while minimizing potential impacts to steelhead but recognizing that angling can have both species and size selectivity (bias). From here on, our focus was on fish captured by angling, unless otherwise noted.</w:t>
      </w:r>
    </w:p>
    <w:p>
      <w:pPr>
        <w:pStyle w:val="BodyText"/>
      </w:pPr>
      <w:r>
        <w:t xml:space="preserve">Our study relied heavily on volunteer anglers who were allowed to fish anywhere within Deadwater Slough; periodically or upon filling a livewell anglers would boat or hike their catch to a processing station located at the boat ramp approximately 500 m downstream from the top of the slough. For each fish, processors would record the date of capture, species, total length (TL; mm), and whether the fish was previously marked. If not previously marked, each fish was provided a physical mark (e.g., hole punch of lower caudal, upper caudal, left pelvic, right pelvic) and marks were unique for each marking day. We also recorded whether marked individuals were released back to be captured again. For release, processors attempted to distribute released individuals throughout Deadwater Slough to facilitate mixing back into the population. We also recorded the crew (person or combination of persons) that captured each fish and the start and end times for each crew were recorded to estimate total effort.</w:t>
      </w:r>
    </w:p>
    <w:p>
      <w:pPr>
        <w:pStyle w:val="BodyText"/>
      </w:pPr>
      <w:r>
        <w:t xml:space="preserve">All of our estimators rely on meeting several assumptions:</w:t>
      </w:r>
      <w:r>
        <w:t xml:space="preserve"> </w:t>
      </w:r>
      <w:r>
        <w:t xml:space="preserve">1. The population in closed (no immigration, emigration, births or deaths during the sampling period).</w:t>
      </w:r>
      <w:r>
        <w:t xml:space="preserve"> </w:t>
      </w:r>
      <w:r>
        <w:t xml:space="preserve">1. Marking a fish does not affect its chances of being caught</w:t>
      </w:r>
      <w:r>
        <w:t xml:space="preserve"> </w:t>
      </w:r>
      <w:r>
        <w:t xml:space="preserve">1. No loss of marks</w:t>
      </w:r>
      <w:r>
        <w:t xml:space="preserve"> </w:t>
      </w:r>
      <w:r>
        <w:t xml:space="preserve">1. No marks are missed or mistaken</w:t>
      </w:r>
      <w:r>
        <w:t xml:space="preserve"> </w:t>
      </w:r>
      <w:r>
        <w:t xml:space="preserve">1. All fish have the same chance of being caught in the second (and subsequent) sample(s)</w:t>
      </w:r>
    </w:p>
    <w:p>
      <w:pPr>
        <w:pStyle w:val="BodyText"/>
      </w:pPr>
      <w:r>
        <w:t xml:space="preserve">We applied several abundance estimators, which fell into two broad categories: single census and multiple census. For the single census estimators, we treated the first week of sampling as the mark event, and the second week as the recapture event, pooling data within each of those weeks. The multiple census estimators treat each day as a survey, and use information about the total marked fish from all previous surveys to infer the total abundance.</w:t>
      </w:r>
    </w:p>
    <w:p>
      <w:pPr>
        <w:pStyle w:val="BodyText"/>
      </w:pPr>
      <w:r>
        <w:t xml:space="preserve">The Lincoln-Petersen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 which is shown below.</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example, the sampling occasions are defined as each day of sampling. This estimator does not have an associate standard error, but 95% confidence intervals can be calculated. The Schnabel estimator is essentially a weighted average of a series of Lincoln-Petersen estimators (with a Chapman modification).</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There is another estimator for this type of multiple census surveys, called the Schumacher-Eschmeyer estimator, which is based on minimizing the weighted sum of squares between the proportion of marked individuals in the sample and the unknown proportion of marked individuals in the population. It is shown below.</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Additionally, we calculated the proportional stock density (PSD) of Northern Pikeminnow with 300 mm total length (TL) for stock and 400 mm TL for quality.</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w:t>
      </w:r>
    </w:p>
    <w:bookmarkEnd w:id="23"/>
    <w:bookmarkStart w:id="24"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 etc.), and non-targets (e.g., macroinvertebrates, organic matter, etc.). Stomach contents were preserved with 99% isopropyl alcohol in whirl-paks and analyzed in a laboratory. For each sample, wet weight (grams) was recorded for the combined stomach content and for the fish content. Fish and fish remnants were identified to the lowest taxonomic unit, when possible, or were categorized as unknown. A subset of Northern Pikeminnow captures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consumption of juvenile Chinook Salmon outmigrants by Northern Pikeminnow in the Deadwater Slough, we used the Fish Bioenergetics v4.0 applicatioon developed by</w:t>
      </w:r>
      <w:r>
        <w:t xml:space="preserve"> </w:t>
      </w:r>
      <w:r>
        <w:t xml:space="preserve">Deslauriers et al. (2017)</w:t>
      </w:r>
      <w:r>
        <w:t xml:space="preserve">. The daily rate of consumption in grams for an individual Northern Pikeminnow was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estimate from</w:t>
      </w:r>
      <w:r>
        <w:t xml:space="preserve"> </w:t>
      </w:r>
      <w:r>
        <w:t xml:space="preserve">Moss et al. (2016)</w:t>
      </w:r>
      <w:r>
        <w:t xml:space="preserve">. To calculate the average predator start weight, we converted the average length of Northern Pikeminnow captured during our study to a weight using a weight-length formula for Northern Pikeminnow</w:t>
      </w:r>
      <w:r>
        <w:t xml:space="preserve"> </w:t>
      </w:r>
      <w:r>
        <w:t xml:space="preserve">(Parker et al. 1995)</w:t>
      </w:r>
      <w:r>
        <w:t xml:space="preserve"> </w:t>
      </w:r>
      <w:r>
        <w:t xml:space="preserve">from the FSA package</w:t>
      </w:r>
      <w:r>
        <w:t xml:space="preserve"> </w:t>
      </w:r>
      <w:r>
        <w:t xml:space="preserve">(Ogle et al. 2021)</w:t>
      </w:r>
      <w:r>
        <w:t xml:space="preserve">. Continuous water temperature data from 2019 were used in two alternative models, on using the baseline start and end weights and the second with a 10% increase in average end weight of Northern Pikeminnow.</w:t>
      </w:r>
    </w:p>
    <w:p>
      <w:pPr>
        <w:pStyle w:val="BodyText"/>
      </w:pPr>
      <w:r>
        <w:t xml:space="preserve">We ran three bioenergetic models for this study. For the first model, we chose a 78-day period from September 1 through November 17 when DSR emigrants are known to enter the mainstem Salmon River from natal tributaries (e.g., Lemhi River) and begin their downstream migration. During this time, water temperatures exceed the range (0-7</w:t>
      </w:r>
      <m:oMath>
        <m:sSup>
          <m:e>
            <m:r>
              <m:t>​</m:t>
            </m:r>
          </m:e>
          <m:sup>
            <m:r>
              <m:rPr>
                <m:sty m:val="p"/>
              </m:rPr>
              <m:t>∘</m:t>
            </m:r>
          </m:sup>
        </m:sSup>
      </m:oMath>
      <w:r>
        <w:t xml:space="preserve">C) that would illicit concealment behavior or torpor from juvenile Chinook Salmon. This model assumed no growth for Northern Pikeminnow. The second model was run for one-year and assumed no growth for Northern Pikeminnow. The assumption of no growth for pikeminnow was included to show what may be occurring if the populaiton of Northern Pikeminnow is stable. If growth of the population is occurring, the alternative model shows how an increase of 10% body weight changes the estimtes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Start w:id="26"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bookmarkEnd w:id="26"/>
    <w:bookmarkEnd w:id="27"/>
    <w:bookmarkStart w:id="32" w:name="results"/>
    <w:p>
      <w:pPr>
        <w:pStyle w:val="Heading1"/>
      </w:pPr>
      <w:r>
        <w:t xml:space="preserve">Results</w:t>
      </w:r>
    </w:p>
    <w:bookmarkStart w:id="28" w:name="abundance-of-piscivorous-fishes-1"/>
    <w:p>
      <w:pPr>
        <w:pStyle w:val="Heading2"/>
      </w:pPr>
      <w:r>
        <w:t xml:space="preserve">Abundance of Piscivorous Fishes</w:t>
      </w:r>
    </w:p>
    <w:p>
      <w:pPr>
        <w:pStyle w:val="FirstParagraph"/>
      </w:pPr>
      <w:r>
        <w:t xml:space="preserve">Abundance estimates for northern pikeminnow during the fall sampling events ranged from 13,298 to 43,279. The multiple census estimators were consistently larger than the single census estimators, although the size of the 95% confidence intervals were more varied.</w:t>
      </w:r>
    </w:p>
    <w:p>
      <w:pPr>
        <w:pStyle w:val="BodyText"/>
      </w:pPr>
      <w:r>
        <w:t xml:space="preserve">PSD for northern pikeminnow across all three years was 42.26% or 42.26% of fish were over the quality size classification 400 mm TL we denoted in the Methods, demonstrating a high percentage of above average size classes present within Deadwater Slough.</w:t>
      </w:r>
    </w:p>
    <w:bookmarkEnd w:id="28"/>
    <w:bookmarkStart w:id="29" w:name="predation-on-juvenile-chinook-salmon-1"/>
    <w:p>
      <w:pPr>
        <w:pStyle w:val="Heading2"/>
      </w:pPr>
      <w:r>
        <w:t xml:space="preserve">Predation On Juvenile Chinook Salmon</w:t>
      </w:r>
    </w:p>
    <w:p>
      <w:pPr>
        <w:pStyle w:val="FirstParagraph"/>
      </w:pPr>
      <w:r>
        <w:t xml:space="preserve">During 2019, 660 Northern Pikeminnow were gastric lavaged. Of those fish, we observed 603 individuals with empty stomachs, and 57 individuals with stomach contents. Twelve of the samples contained fish remnants including a single Mountain Whitefish and two Redside Shiners. During the 2020 season, 805 Northern Pikeminnow were gastric lavaged comprised of 613 individuals with empty stomachs and 188 individuals with stomach contents. Twenty-three individuals had fish remnants in their stomach contents including ten with unidentifiable remnants, six Redside Shiners, four suckers, two sculpin, and one juvenile Chinook Salmon. In 2021, we collected stomach contents from 105 Northern Pikeminnow with 98 containing non-fish prey items and observed seven containing fish remnants.</w:t>
      </w:r>
    </w:p>
    <w:bookmarkEnd w:id="29"/>
    <w:bookmarkStart w:id="30" w:name="bioenergetics-1"/>
    <w:p>
      <w:pPr>
        <w:pStyle w:val="Heading2"/>
      </w:pPr>
      <w:r>
        <w:t xml:space="preserve">Bioenergetics</w:t>
      </w:r>
    </w:p>
    <w:p>
      <w:pPr>
        <w:pStyle w:val="FirstParagraph"/>
      </w:pPr>
      <w:r>
        <w:t xml:space="preserve">Over the fall time period a single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30"/>
    <w:bookmarkStart w:id="31" w:name="impacts-to-adult-returns-1"/>
    <w:p>
      <w:pPr>
        <w:pStyle w:val="Heading2"/>
      </w:pPr>
      <w:r>
        <w:t xml:space="preserve">Impacts to Adult Returns</w:t>
      </w:r>
    </w:p>
    <w:p>
      <w:pPr>
        <w:numPr>
          <w:ilvl w:val="0"/>
          <w:numId w:val="1002"/>
        </w:numPr>
        <w:pStyle w:val="Compact"/>
      </w:pPr>
      <w:r>
        <w:t xml:space="preserve">SAR results. Maybe a plot of multiple scenarios depending on gastric lavage results? And pop estimates if they vary in time.</w:t>
      </w:r>
    </w:p>
    <w:bookmarkEnd w:id="31"/>
    <w:bookmarkEnd w:id="32"/>
    <w:bookmarkStart w:id="42"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3" w:name="mark-recapture-model"/>
    <w:p>
      <w:pPr>
        <w:pStyle w:val="Heading2"/>
      </w:pPr>
      <w:r>
        <w:t xml:space="preserve">Mark-Recapture Model</w:t>
      </w:r>
    </w:p>
    <w:bookmarkEnd w:id="33"/>
    <w:bookmarkStart w:id="34"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4"/>
    <w:bookmarkStart w:id="35"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5"/>
    <w:bookmarkStart w:id="36" w:name="impacts-to-adult-returns-2"/>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6"/>
    <w:bookmarkStart w:id="39"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9"/>
    <w:bookmarkStart w:id="40"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40"/>
    <w:bookmarkStart w:id="41"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41"/>
    <w:bookmarkEnd w:id="42"/>
    <w:bookmarkStart w:id="43"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3"/>
    <w:bookmarkStart w:id="73" w:name="literature-cited"/>
    <w:p>
      <w:pPr>
        <w:pStyle w:val="Heading1"/>
      </w:pPr>
      <w:r>
        <w:t xml:space="preserve">Literature Cited</w:t>
      </w:r>
    </w:p>
    <w:bookmarkStart w:id="72" w:name="refs"/>
    <w:bookmarkStart w:id="44"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4"/>
    <w:bookmarkStart w:id="45"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5"/>
    <w:bookmarkStart w:id="46"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6"/>
    <w:bookmarkStart w:id="47"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8"/>
    <w:bookmarkStart w:id="49"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9"/>
    <w:bookmarkStart w:id="50"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 Smallmouth</w:t>
      </w:r>
      <w:r>
        <w:t xml:space="preserve"> </w:t>
      </w:r>
      <w:r>
        <w:t xml:space="preserve">Bass Predation Revisited</w:t>
      </w:r>
      <w:r>
        <w:t xml:space="preserve">. Transactions of the American Fisheries Society 147(2):316–328.</w:t>
      </w:r>
    </w:p>
    <w:bookmarkEnd w:id="50"/>
    <w:bookmarkStart w:id="51"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1"/>
    <w:bookmarkStart w:id="52"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2"/>
    <w:bookmarkStart w:id="53"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3"/>
    <w:bookmarkStart w:id="54"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4"/>
    <w:bookmarkStart w:id="55"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5"/>
    <w:bookmarkStart w:id="56"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56"/>
    <w:bookmarkStart w:id="57"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7"/>
    <w:bookmarkStart w:id="58" w:name="ref-McCann2019"/>
    <w:p>
      <w:pPr>
        <w:pStyle w:val="Bibliography"/>
      </w:pPr>
      <w:r>
        <w:t xml:space="preserve">McCann, J., B. Chockley, E. Cooper, Hsu Bobby, S. Haeseker, R. Lessard, T. Copeland, E. Tinus, A. Storch, and D. Rawding. 2019. Comparative survival study of</w:t>
      </w:r>
      <w:r>
        <w:t xml:space="preserve"> </w:t>
      </w:r>
      <w:r>
        <w:t xml:space="preserve">PIT</w:t>
      </w:r>
      <w:r>
        <w:t xml:space="preserve">-tagged spring/summer/fall</w:t>
      </w:r>
      <w:r>
        <w:t xml:space="preserve"> </w:t>
      </w:r>
      <w:r>
        <w:t xml:space="preserve">C</w:t>
      </w:r>
      <w:r>
        <w:t xml:space="preserve">hinook, summer steelhead, and sockeye 2019 annual report. Citeseer.</w:t>
      </w:r>
    </w:p>
    <w:bookmarkEnd w:id="58"/>
    <w:bookmarkStart w:id="5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9"/>
    <w:bookmarkStart w:id="60"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60"/>
    <w:bookmarkStart w:id="61"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61"/>
    <w:bookmarkStart w:id="62"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62"/>
    <w:bookmarkStart w:id="63" w:name="ref-IdahoOSCTeam2019"/>
    <w:p>
      <w:pPr>
        <w:pStyle w:val="Bibliography"/>
      </w:pPr>
      <w:r>
        <w:t xml:space="preserve">OSC Team (Idaho Governor’s Office of Species Conservation and partners). 2019. Upper</w:t>
      </w:r>
      <w:r>
        <w:t xml:space="preserve"> </w:t>
      </w:r>
      <w:r>
        <w:t xml:space="preserve">Salmon Subbasin Habitat Integrated Rehabilitation Assessment</w:t>
      </w:r>
      <w:r>
        <w:t xml:space="preserve">.</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w:t>
      </w:r>
      <w:r>
        <w:t xml:space="preserve"> </w:t>
      </w:r>
      <w:r>
        <w:t xml:space="preserve">June</w:t>
      </w:r>
      <w:r>
        <w:t xml:space="preserve"> </w:t>
      </w:r>
      <w:r>
        <w:t xml:space="preserve">2019. Page 625.</w:t>
      </w:r>
    </w:p>
    <w:bookmarkEnd w:id="63"/>
    <w:bookmarkStart w:id="64"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4"/>
    <w:bookmarkStart w:id="65"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5"/>
    <w:bookmarkStart w:id="66"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66"/>
    <w:bookmarkStart w:id="67"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67"/>
    <w:bookmarkStart w:id="68"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8"/>
    <w:bookmarkStart w:id="69"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9"/>
    <w:bookmarkStart w:id="70"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70"/>
    <w:bookmarkStart w:id="71"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w:t>
      </w:r>
      <w:r>
        <w:t xml:space="preserve">-migrating</w:t>
      </w:r>
      <w:r>
        <w:t xml:space="preserve"> </w:t>
      </w:r>
      <w:r>
        <w:t xml:space="preserve">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71"/>
    <w:bookmarkEnd w:id="72"/>
    <w:p>
      <w:r>
        <w:br w:type="page"/>
      </w:r>
    </w:p>
    <w:bookmarkEnd w:id="73"/>
    <w:bookmarkStart w:id="75" w:name="tables"/>
    <w:p>
      <w:pPr>
        <w:pStyle w:val="Heading1"/>
      </w:pPr>
      <w:r>
        <w:t xml:space="preserve">Tables</w:t>
      </w:r>
    </w:p>
    <w:bookmarkStart w:id="74" w:name="tables"/>
    <w:bookmarkEnd w:id="74"/>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75"/>
    <w:bookmarkStart w:id="85" w:name="figures"/>
    <w:p>
      <w:pPr>
        <w:pStyle w:val="Heading1"/>
      </w:pPr>
      <w:r>
        <w:t xml:space="preserve">Figures</w:t>
      </w:r>
    </w:p>
    <w:bookmarkStart w:id="76" w:name="figures"/>
    <w:bookmarkEnd w:id="76"/>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7"/>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7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8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8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BodyText"/>
      </w:pPr>
      <w:r>
        <w:drawing>
          <wp:inline>
            <wp:extent cx="5504749" cy="3669832"/>
            <wp:effectExtent b="0" l="0" r="0" t="0"/>
            <wp:docPr descr="" title="" id="1" name="Picture"/>
            <a:graphic>
              <a:graphicData uri="http://schemas.openxmlformats.org/drawingml/2006/picture">
                <pic:pic>
                  <pic:nvPicPr>
                    <pic:cNvPr descr="../figures/adult-imp-p-1.png" id="0" name="Picture"/>
                    <pic:cNvPicPr>
                      <a:picLocks noChangeArrowheads="1" noChangeAspect="1"/>
                    </pic:cNvPicPr>
                  </pic:nvPicPr>
                  <pic:blipFill>
                    <a:blip r:embed="rId83"/>
                    <a:stretch>
                      <a:fillRect/>
                    </a:stretch>
                  </pic:blipFill>
                  <pic:spPr bwMode="auto">
                    <a:xfrm>
                      <a:off x="0" y="0"/>
                      <a:ext cx="5504749" cy="3669832"/>
                    </a:xfrm>
                    <a:prstGeom prst="rect">
                      <a:avLst/>
                    </a:prstGeom>
                    <a:noFill/>
                    <a:ln w="9525">
                      <a:noFill/>
                      <a:headEnd/>
                      <a:tailEnd/>
                    </a:ln>
                  </pic:spPr>
                </pic:pic>
              </a:graphicData>
            </a:graphic>
          </wp:inline>
        </w:drawing>
      </w:r>
    </w:p>
    <w:p>
      <w:r>
        <w:br w:type="page"/>
      </w:r>
    </w:p>
    <w:bookmarkStart w:id="84" w:name="colophon"/>
    <w:p>
      <w:pPr>
        <w:pStyle w:val="Heading3"/>
      </w:pPr>
      <w:r>
        <w:t xml:space="preserve">Colophon</w:t>
      </w:r>
    </w:p>
    <w:p>
      <w:pPr>
        <w:pStyle w:val="FirstParagraph"/>
      </w:pPr>
      <w:r>
        <w:t xml:space="preserve">This report was generated on 2021-11-24 09:21:48 using the following computational environment and dependencies:</w:t>
      </w:r>
    </w:p>
    <w:p>
      <w:pPr>
        <w:pStyle w:val="SourceCode"/>
      </w:pPr>
      <w:r>
        <w:rPr>
          <w:rStyle w:val="VerbatimChar"/>
        </w:rPr>
        <w:t xml:space="preserve">#&gt; - Session info  --------------------------------------------------------------</w:t>
      </w:r>
      <w:r>
        <w:br/>
      </w:r>
      <w:r>
        <w:rPr>
          <w:rStyle w:val="VerbatimChar"/>
        </w:rPr>
        <w:t xml:space="preserve">#&gt;  hash: telescope, frog, flag: Sri Lanka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2021-11-24</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[1f50b05] 2021-11-24: updated Study Site</w:t>
      </w:r>
    </w:p>
    <w:bookmarkEnd w:id="84"/>
    <w:bookmarkEnd w:id="85"/>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2021-11-24T16:21:50Z</dcterms:created>
  <dcterms:modified xsi:type="dcterms:W3CDTF">2021-11-24T16:21:50Z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24 November,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